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Heby kommunfullmäktige</w:t>
      </w:r>
    </w:p>
    <w:p>
      <w:pPr>
        <w:pStyle w:val="Heading1"/>
      </w:pPr>
      <w:r>
        <w:t xml:space="preserve">Investera i skollokaler och fler lärare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Heby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Meritvärdet i Heby ligger på 210 enligt Skolverket 2025, under rikssnittet. Flera skolor har eftersatt underhåll och lärartätheten är låg.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Heby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uppdra åt barn- och utbildningsnämnden att renovera tre skolor under 2027–2028.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öka lärartätheten med 8 heltidstjänster från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25 mnkr i budget 2027 för skolunderhåll.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införa mindre klasser i årskurs 1–3.</w:t>
      </w:r>
    </w:p>
    <w:p>
      <w:pPr>
        <w:spacing w:before="360"/>
      </w:pPr>
    </w:p>
    <w:p>
      <w:r>
        <w:t xml:space="preserve">Heby,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Heby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2026-07-14T00:09:38.020Z</dcterms:created>
  <dcterms:modified xsi:type="dcterms:W3CDTF">2026-07-14T00:09:38.020Z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